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F0" w:rsidRDefault="00321FF0" w:rsidP="00321FF0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16987">
        <w:rPr>
          <w:rFonts w:ascii="Arial" w:hAnsi="Arial" w:cs="Arial"/>
          <w:b/>
          <w:sz w:val="20"/>
          <w:szCs w:val="20"/>
          <w:highlight w:val="yellow"/>
        </w:rPr>
        <w:t>Mzdové konštanty pre výpočet miezd  - platné od 1.1.2015</w:t>
      </w:r>
    </w:p>
    <w:p w:rsidR="00321FF0" w:rsidRPr="006C0E4A" w:rsidRDefault="00321FF0" w:rsidP="00321FF0">
      <w:pPr>
        <w:rPr>
          <w:rFonts w:ascii="Verdana" w:eastAsia="Times New Roman" w:hAnsi="Verdana" w:cs="Arial"/>
          <w:b/>
          <w:color w:val="3E3E3E"/>
          <w:sz w:val="18"/>
          <w:szCs w:val="18"/>
          <w:lang w:eastAsia="sk-SK"/>
        </w:rPr>
      </w:pPr>
      <w:r w:rsidRPr="006C0E4A">
        <w:rPr>
          <w:rFonts w:ascii="Verdana" w:eastAsia="Times New Roman" w:hAnsi="Verdana" w:cs="Arial"/>
          <w:b/>
          <w:color w:val="3E3E3E"/>
          <w:sz w:val="18"/>
          <w:szCs w:val="18"/>
          <w:lang w:eastAsia="sk-SK"/>
        </w:rPr>
        <w:t>Trieda: Konštanty pre výpočet miezd   -   21100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5520"/>
        <w:gridCol w:w="640"/>
        <w:gridCol w:w="1557"/>
        <w:gridCol w:w="1571"/>
      </w:tblGrid>
      <w:tr w:rsidR="00321FF0" w:rsidTr="00321FF0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F0" w:rsidRDefault="00321FF0">
            <w:pPr>
              <w:suppressAutoHyphens/>
              <w:rPr>
                <w:lang w:eastAsia="ar-SA"/>
              </w:rPr>
            </w:pPr>
            <w:r>
              <w:t>atribút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F0" w:rsidRDefault="00321FF0">
            <w:pPr>
              <w:suppressAutoHyphens/>
              <w:rPr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F0" w:rsidRDefault="00321FF0">
            <w:pPr>
              <w:rPr>
                <w:lang w:eastAsia="ar-SA"/>
              </w:rPr>
            </w:pPr>
            <w:r>
              <w:t>Pôvodná hodnota</w:t>
            </w:r>
          </w:p>
          <w:p w:rsidR="00321FF0" w:rsidRDefault="00321FF0" w:rsidP="0095378A">
            <w:pPr>
              <w:suppressAutoHyphens/>
              <w:rPr>
                <w:lang w:eastAsia="ar-SA"/>
              </w:rPr>
            </w:pPr>
            <w:r>
              <w:t>201</w:t>
            </w:r>
            <w:r w:rsidR="0095378A"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F0" w:rsidRDefault="00321FF0">
            <w:pPr>
              <w:rPr>
                <w:b/>
                <w:lang w:eastAsia="ar-SA"/>
              </w:rPr>
            </w:pPr>
            <w:r>
              <w:rPr>
                <w:b/>
              </w:rPr>
              <w:t>Nová hodnota</w:t>
            </w:r>
          </w:p>
          <w:p w:rsidR="00321FF0" w:rsidRDefault="00321FF0" w:rsidP="0095378A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201</w:t>
            </w:r>
            <w:r w:rsidR="0095378A">
              <w:rPr>
                <w:b/>
              </w:rPr>
              <w:t>5</w:t>
            </w:r>
          </w:p>
        </w:tc>
      </w:tr>
      <w:tr w:rsidR="005E68F7" w:rsidTr="005E68F7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Default="005E68F7">
            <w:pPr>
              <w:suppressAutoHyphens/>
              <w:rPr>
                <w:lang w:eastAsia="ar-SA"/>
              </w:rPr>
            </w:pPr>
            <w:r>
              <w:t>Minimálna mesačná mzda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F7" w:rsidRDefault="005E68F7">
            <w:pPr>
              <w:suppressAutoHyphens/>
              <w:rPr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F7" w:rsidRDefault="005E68F7" w:rsidP="00BA68F4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352,00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Default="005E68F7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380,00</w:t>
            </w:r>
          </w:p>
        </w:tc>
      </w:tr>
      <w:tr w:rsidR="005E68F7" w:rsidTr="005E68F7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Default="005E68F7">
            <w:pPr>
              <w:suppressAutoHyphens/>
              <w:rPr>
                <w:lang w:eastAsia="ar-SA"/>
              </w:rPr>
            </w:pPr>
            <w:r>
              <w:t>Minimálna hodinová mzda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F7" w:rsidRDefault="005E68F7">
            <w:pPr>
              <w:suppressAutoHyphens/>
              <w:rPr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F7" w:rsidRDefault="005E68F7" w:rsidP="00BA68F4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2,023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Default="005E68F7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2,184</w:t>
            </w:r>
          </w:p>
        </w:tc>
      </w:tr>
      <w:tr w:rsidR="005E68F7" w:rsidTr="005E68F7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Default="005E68F7">
            <w:pPr>
              <w:suppressAutoHyphens/>
              <w:rPr>
                <w:lang w:eastAsia="ar-SA"/>
              </w:rPr>
            </w:pPr>
            <w:r>
              <w:t>Nezdaniteľná časť základu dane ročná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F7" w:rsidRDefault="005E68F7">
            <w:pPr>
              <w:suppressAutoHyphens/>
              <w:rPr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F7" w:rsidRDefault="005E68F7" w:rsidP="00BA68F4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3803,33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Default="005E68F7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3803,33</w:t>
            </w:r>
          </w:p>
        </w:tc>
      </w:tr>
      <w:tr w:rsidR="005E68F7" w:rsidTr="005E68F7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Default="005E68F7">
            <w:pPr>
              <w:suppressAutoHyphens/>
              <w:rPr>
                <w:lang w:eastAsia="ar-SA"/>
              </w:rPr>
            </w:pPr>
            <w:r>
              <w:t>Nezdaniteľná časť základu dane mesačná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F7" w:rsidRDefault="005E68F7">
            <w:pPr>
              <w:suppressAutoHyphens/>
              <w:rPr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F7" w:rsidRDefault="005E68F7" w:rsidP="00BA68F4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316,94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Default="005E68F7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316,94</w:t>
            </w:r>
          </w:p>
        </w:tc>
      </w:tr>
      <w:tr w:rsidR="005E68F7" w:rsidTr="005E68F7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Default="005E68F7">
            <w:pPr>
              <w:suppressAutoHyphens/>
              <w:rPr>
                <w:lang w:eastAsia="ar-SA"/>
              </w:rPr>
            </w:pPr>
            <w:r>
              <w:t>Nezdaniteľná časť základu dane na manželku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F7" w:rsidRDefault="005E68F7">
            <w:pPr>
              <w:suppressAutoHyphens/>
              <w:rPr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F7" w:rsidRDefault="005E68F7" w:rsidP="00BA68F4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3803,33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Default="005E68F7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3803,33</w:t>
            </w:r>
          </w:p>
        </w:tc>
      </w:tr>
      <w:tr w:rsidR="005E68F7" w:rsidTr="005E68F7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Default="005E68F7">
            <w:pPr>
              <w:suppressAutoHyphens/>
              <w:rPr>
                <w:lang w:eastAsia="ar-SA"/>
              </w:rPr>
            </w:pPr>
            <w:r>
              <w:t xml:space="preserve">Max. vymeriavací základ pre </w:t>
            </w:r>
            <w:proofErr w:type="spellStart"/>
            <w:r>
              <w:t>nem</w:t>
            </w:r>
            <w:proofErr w:type="spellEnd"/>
            <w:r>
              <w:t>. dávku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F7" w:rsidRDefault="005E68F7">
            <w:pPr>
              <w:suppressAutoHyphens/>
              <w:rPr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F7" w:rsidRDefault="005E68F7" w:rsidP="00BA68F4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39,6987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Default="005E68F7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40,6356</w:t>
            </w:r>
          </w:p>
        </w:tc>
      </w:tr>
    </w:tbl>
    <w:p w:rsidR="00321FF0" w:rsidRDefault="00321FF0" w:rsidP="00321FF0">
      <w:pPr>
        <w:rPr>
          <w:rFonts w:ascii="Arial" w:hAnsi="Arial" w:cs="Arial"/>
          <w:b/>
          <w:color w:val="FFFF00"/>
          <w:sz w:val="20"/>
          <w:szCs w:val="20"/>
          <w:highlight w:val="blue"/>
          <w:lang w:eastAsia="ar-SA"/>
        </w:rPr>
      </w:pPr>
    </w:p>
    <w:p w:rsidR="00321FF0" w:rsidRPr="00321FF0" w:rsidRDefault="00321FF0" w:rsidP="00321FF0">
      <w:pPr>
        <w:rPr>
          <w:rFonts w:ascii="Times New Roman" w:hAnsi="Times New Roman" w:cs="Times New Roman"/>
          <w:b/>
          <w:sz w:val="20"/>
          <w:szCs w:val="20"/>
        </w:rPr>
      </w:pPr>
      <w:r w:rsidRPr="00E72130">
        <w:rPr>
          <w:rFonts w:ascii="Arial" w:hAnsi="Arial" w:cs="Arial"/>
          <w:b/>
          <w:sz w:val="20"/>
          <w:szCs w:val="20"/>
        </w:rPr>
        <w:t>Progresívne zdaňovanie</w:t>
      </w:r>
      <w:r>
        <w:rPr>
          <w:rFonts w:ascii="Arial" w:hAnsi="Arial" w:cs="Arial"/>
          <w:sz w:val="20"/>
          <w:szCs w:val="20"/>
        </w:rPr>
        <w:t xml:space="preserve"> - výpočet preddavku dane z</w:t>
      </w:r>
      <w:r w:rsidR="005E68F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príjmu</w:t>
      </w:r>
      <w:r w:rsidR="005E68F7">
        <w:rPr>
          <w:rFonts w:ascii="Arial" w:hAnsi="Arial" w:cs="Arial"/>
          <w:sz w:val="20"/>
          <w:szCs w:val="20"/>
        </w:rPr>
        <w:t xml:space="preserve"> – vzhľadom k tomu, že k 1.7.2014 sa výška životného minima nemenila a ostáva na výške 198,09 – výška nezdaniteľnej časti </w:t>
      </w:r>
      <w:r w:rsidR="00E72130">
        <w:rPr>
          <w:rFonts w:ascii="Arial" w:hAnsi="Arial" w:cs="Arial"/>
          <w:sz w:val="20"/>
          <w:szCs w:val="20"/>
        </w:rPr>
        <w:t xml:space="preserve">základu dane </w:t>
      </w:r>
      <w:r w:rsidR="005E68F7">
        <w:rPr>
          <w:rFonts w:ascii="Arial" w:hAnsi="Arial" w:cs="Arial"/>
          <w:sz w:val="20"/>
          <w:szCs w:val="20"/>
        </w:rPr>
        <w:t>sa nemenila.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21FF0" w:rsidTr="00321FF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F0" w:rsidRDefault="00321FF0">
            <w:pPr>
              <w:suppressAutoHyphens/>
              <w:rPr>
                <w:lang w:eastAsia="ar-SA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F0" w:rsidRDefault="00321FF0" w:rsidP="005E68F7">
            <w:pPr>
              <w:suppressAutoHyphens/>
              <w:rPr>
                <w:lang w:eastAsia="ar-SA"/>
              </w:rPr>
            </w:pPr>
            <w:r>
              <w:t>Pôvodná hodnota 201</w:t>
            </w:r>
            <w:r w:rsidR="005E68F7"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F0" w:rsidRDefault="00321FF0" w:rsidP="005E68F7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Nová hodnota 201</w:t>
            </w:r>
            <w:r w:rsidR="005E68F7">
              <w:rPr>
                <w:b/>
              </w:rPr>
              <w:t>5</w:t>
            </w:r>
          </w:p>
        </w:tc>
      </w:tr>
      <w:tr w:rsidR="005E68F7" w:rsidTr="00321FF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Default="005E68F7">
            <w:pPr>
              <w:suppressAutoHyphens/>
              <w:rPr>
                <w:lang w:eastAsia="ar-SA"/>
              </w:rPr>
            </w:pPr>
            <w:r>
              <w:t>19% ak mes.  základ ≤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Default="005E68F7" w:rsidP="00BA68F4">
            <w:pPr>
              <w:suppressAutoHyphens/>
              <w:rPr>
                <w:lang w:eastAsia="ar-SA"/>
              </w:rPr>
            </w:pPr>
            <w:r>
              <w:t>2918,53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Default="005E68F7">
            <w:pPr>
              <w:suppressAutoHyphens/>
              <w:rPr>
                <w:lang w:eastAsia="ar-SA"/>
              </w:rPr>
            </w:pPr>
            <w:r>
              <w:t>2918,53</w:t>
            </w:r>
          </w:p>
        </w:tc>
      </w:tr>
      <w:tr w:rsidR="005E68F7" w:rsidTr="00321FF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Default="005E68F7">
            <w:pPr>
              <w:suppressAutoHyphens/>
              <w:rPr>
                <w:lang w:eastAsia="ar-SA"/>
              </w:rPr>
            </w:pPr>
            <w:r>
              <w:t>25% ak mes.  základ &gt;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Default="005E68F7" w:rsidP="00BA68F4">
            <w:pPr>
              <w:suppressAutoHyphens/>
              <w:rPr>
                <w:lang w:eastAsia="ar-SA"/>
              </w:rPr>
            </w:pPr>
            <w:r>
              <w:t>2918,53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Default="005E68F7">
            <w:pPr>
              <w:suppressAutoHyphens/>
              <w:rPr>
                <w:lang w:eastAsia="ar-SA"/>
              </w:rPr>
            </w:pPr>
            <w:r>
              <w:t>2918,53</w:t>
            </w:r>
          </w:p>
        </w:tc>
      </w:tr>
      <w:tr w:rsidR="005E68F7" w:rsidTr="00321FF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Default="005E68F7">
            <w:pPr>
              <w:suppressAutoHyphens/>
              <w:rPr>
                <w:lang w:eastAsia="ar-SA"/>
              </w:rPr>
            </w:pPr>
            <w:r>
              <w:t>19% ak ročný základ ≤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Default="005E68F7" w:rsidP="00BA68F4">
            <w:pPr>
              <w:suppressAutoHyphens/>
              <w:rPr>
                <w:lang w:eastAsia="ar-SA"/>
              </w:rPr>
            </w:pPr>
            <w:r>
              <w:t>35022,31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Default="005E68F7">
            <w:pPr>
              <w:suppressAutoHyphens/>
              <w:rPr>
                <w:lang w:eastAsia="ar-SA"/>
              </w:rPr>
            </w:pPr>
            <w:r>
              <w:t>35022,31</w:t>
            </w:r>
          </w:p>
        </w:tc>
      </w:tr>
      <w:tr w:rsidR="005E68F7" w:rsidTr="00321FF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Default="005E68F7">
            <w:pPr>
              <w:suppressAutoHyphens/>
              <w:rPr>
                <w:lang w:eastAsia="ar-SA"/>
              </w:rPr>
            </w:pPr>
            <w:r>
              <w:t>25% ak ročný základ &gt;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Default="005E68F7" w:rsidP="00BA68F4">
            <w:pPr>
              <w:suppressAutoHyphens/>
              <w:rPr>
                <w:lang w:eastAsia="ar-SA"/>
              </w:rPr>
            </w:pPr>
            <w:r>
              <w:t>35022,31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Default="005E68F7">
            <w:pPr>
              <w:suppressAutoHyphens/>
              <w:rPr>
                <w:lang w:eastAsia="ar-SA"/>
              </w:rPr>
            </w:pPr>
            <w:r>
              <w:t>35022,31</w:t>
            </w:r>
          </w:p>
        </w:tc>
      </w:tr>
    </w:tbl>
    <w:p w:rsidR="00321FF0" w:rsidRDefault="00321FF0" w:rsidP="00321FF0">
      <w:pPr>
        <w:rPr>
          <w:rFonts w:ascii="Calibri" w:eastAsia="Calibri" w:hAnsi="Calibri"/>
          <w:sz w:val="20"/>
          <w:szCs w:val="20"/>
          <w:lang w:eastAsia="ar-SA"/>
        </w:rPr>
      </w:pPr>
    </w:p>
    <w:p w:rsidR="00321FF0" w:rsidRPr="006C0E4A" w:rsidRDefault="00321FF0" w:rsidP="00321FF0">
      <w:pPr>
        <w:rPr>
          <w:rFonts w:ascii="Verdana" w:eastAsia="Times New Roman" w:hAnsi="Verdana" w:cs="Arial"/>
          <w:b/>
          <w:color w:val="3E3E3E"/>
          <w:sz w:val="18"/>
          <w:szCs w:val="18"/>
          <w:lang w:eastAsia="sk-SK"/>
        </w:rPr>
      </w:pPr>
      <w:r w:rsidRPr="006C0E4A">
        <w:rPr>
          <w:rFonts w:ascii="Verdana" w:eastAsia="Times New Roman" w:hAnsi="Verdana" w:cs="Arial"/>
          <w:b/>
          <w:color w:val="3E3E3E"/>
          <w:sz w:val="18"/>
          <w:szCs w:val="18"/>
          <w:lang w:eastAsia="sk-SK"/>
        </w:rPr>
        <w:t xml:space="preserve">Trieda:  Druhy platieb do fondov </w:t>
      </w:r>
      <w:r w:rsidR="006C0E4A">
        <w:rPr>
          <w:rFonts w:ascii="Verdana" w:eastAsia="Times New Roman" w:hAnsi="Verdana" w:cs="Arial"/>
          <w:b/>
          <w:color w:val="3E3E3E"/>
          <w:sz w:val="18"/>
          <w:szCs w:val="18"/>
          <w:lang w:eastAsia="sk-SK"/>
        </w:rPr>
        <w:t xml:space="preserve"> -  </w:t>
      </w:r>
      <w:r w:rsidRPr="006C0E4A">
        <w:rPr>
          <w:rFonts w:ascii="Verdana" w:eastAsia="Times New Roman" w:hAnsi="Verdana" w:cs="Arial"/>
          <w:b/>
          <w:color w:val="3E3E3E"/>
          <w:sz w:val="18"/>
          <w:szCs w:val="18"/>
          <w:lang w:eastAsia="sk-SK"/>
        </w:rPr>
        <w:t>21503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3357"/>
        <w:gridCol w:w="1207"/>
        <w:gridCol w:w="1615"/>
        <w:gridCol w:w="1557"/>
        <w:gridCol w:w="1552"/>
      </w:tblGrid>
      <w:tr w:rsidR="00321FF0" w:rsidTr="00321FF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F0" w:rsidRDefault="00321FF0">
            <w:pPr>
              <w:suppressAutoHyphens/>
              <w:rPr>
                <w:lang w:eastAsia="ar-SA"/>
              </w:rPr>
            </w:pPr>
            <w:r>
              <w:t>atribút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F0" w:rsidRDefault="00321FF0">
            <w:pPr>
              <w:suppressAutoHyphens/>
              <w:rPr>
                <w:lang w:eastAsia="ar-SA"/>
              </w:rPr>
            </w:pPr>
            <w:r>
              <w:t>Typ platby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F0" w:rsidRDefault="00321FF0">
            <w:pPr>
              <w:suppressAutoHyphens/>
              <w:rPr>
                <w:lang w:eastAsia="ar-SA"/>
              </w:rPr>
            </w:pPr>
            <w:proofErr w:type="spellStart"/>
            <w:r>
              <w:t>Upresnenie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F0" w:rsidRDefault="00321FF0">
            <w:pPr>
              <w:suppressAutoHyphens/>
              <w:rPr>
                <w:lang w:eastAsia="ar-SA"/>
              </w:rPr>
            </w:pPr>
            <w:r>
              <w:t>Pôvodná hodnota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F0" w:rsidRDefault="00321FF0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Nová hodnota</w:t>
            </w:r>
          </w:p>
        </w:tc>
      </w:tr>
      <w:tr w:rsidR="005E68F7" w:rsidTr="00321FF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Default="005E68F7">
            <w:pPr>
              <w:suppressAutoHyphens/>
              <w:rPr>
                <w:lang w:eastAsia="ar-SA"/>
              </w:rPr>
            </w:pPr>
            <w:r>
              <w:t>Max. VZ pre odvod do ZP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Default="005E68F7">
            <w:pPr>
              <w:suppressAutoHyphens/>
              <w:rPr>
                <w:lang w:eastAsia="ar-SA"/>
              </w:rPr>
            </w:pPr>
            <w:r>
              <w:t>1,2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Default="005E68F7">
            <w:pPr>
              <w:suppressAutoHyphens/>
              <w:rPr>
                <w:lang w:eastAsia="ar-SA"/>
              </w:rPr>
            </w:pPr>
            <w:r>
              <w:t>0,1,2,4,6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Default="005E68F7" w:rsidP="00BA68F4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4025,00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Default="005E68F7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4120,00</w:t>
            </w:r>
          </w:p>
        </w:tc>
      </w:tr>
      <w:tr w:rsidR="005E68F7" w:rsidTr="00321FF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Default="005E68F7">
            <w:pPr>
              <w:suppressAutoHyphens/>
              <w:rPr>
                <w:lang w:eastAsia="ar-SA"/>
              </w:rPr>
            </w:pPr>
            <w:r>
              <w:t>Max. VZ pre odvody do SP (okrem úrazového poistenia)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F7" w:rsidRDefault="005E68F7">
            <w:pPr>
              <w:suppressAutoHyphens/>
              <w:rPr>
                <w:lang w:eastAsia="ar-SA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Default="005E68F7">
            <w:pPr>
              <w:suppressAutoHyphens/>
              <w:rPr>
                <w:lang w:eastAsia="ar-SA"/>
              </w:rPr>
            </w:pPr>
            <w:r>
              <w:t>0,1,2,4,6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Default="005E68F7" w:rsidP="00BA68F4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4025,00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Default="005E68F7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4120,00</w:t>
            </w:r>
          </w:p>
        </w:tc>
      </w:tr>
    </w:tbl>
    <w:p w:rsidR="00585AA3" w:rsidRDefault="00585AA3"/>
    <w:p w:rsidR="005E68F7" w:rsidRPr="006C0E4A" w:rsidRDefault="005E68F7" w:rsidP="006C0E4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Arial"/>
          <w:b/>
          <w:color w:val="3E3E3E"/>
          <w:sz w:val="18"/>
          <w:szCs w:val="18"/>
          <w:lang w:eastAsia="sk-SK"/>
        </w:rPr>
      </w:pPr>
      <w:r w:rsidRPr="006C0E4A">
        <w:rPr>
          <w:rFonts w:ascii="Verdana" w:eastAsia="Times New Roman" w:hAnsi="Verdana" w:cs="Arial"/>
          <w:b/>
          <w:color w:val="3E3E3E"/>
          <w:sz w:val="18"/>
          <w:szCs w:val="18"/>
          <w:lang w:eastAsia="sk-SK"/>
        </w:rPr>
        <w:t>Trieda: Výpočet mzdy</w:t>
      </w:r>
      <w:r w:rsidR="006C0E4A">
        <w:rPr>
          <w:rFonts w:ascii="Verdana" w:eastAsia="Times New Roman" w:hAnsi="Verdana" w:cs="Arial"/>
          <w:b/>
          <w:color w:val="3E3E3E"/>
          <w:sz w:val="18"/>
          <w:szCs w:val="18"/>
          <w:lang w:eastAsia="sk-SK"/>
        </w:rPr>
        <w:t xml:space="preserve"> -  </w:t>
      </w:r>
      <w:r w:rsidRPr="006C0E4A">
        <w:rPr>
          <w:rFonts w:ascii="Verdana" w:eastAsia="Times New Roman" w:hAnsi="Verdana" w:cs="Arial"/>
          <w:b/>
          <w:color w:val="3E3E3E"/>
          <w:sz w:val="18"/>
          <w:szCs w:val="18"/>
          <w:lang w:eastAsia="sk-SK"/>
        </w:rPr>
        <w:t>21104</w:t>
      </w:r>
    </w:p>
    <w:p w:rsidR="006C0E4A" w:rsidRDefault="006C0E4A" w:rsidP="006C0E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Študenti -</w:t>
      </w:r>
      <w:r>
        <w:rPr>
          <w:rFonts w:ascii="Arial" w:hAnsi="Arial" w:cs="Arial"/>
          <w:sz w:val="20"/>
          <w:szCs w:val="20"/>
        </w:rPr>
        <w:t xml:space="preserve"> Žiakom a študentom stredných a vysokých škôl, ktorí pracujú na dohodu o brigádnickej práci študentov, sa od 1. januára 2015 zvyšuje hranica zárobku, do ktorej nebudú platiť odvody, a to na jednotnú sumu 200 eur. </w:t>
      </w:r>
    </w:p>
    <w:p w:rsidR="006C0E4A" w:rsidRDefault="006C0E4A" w:rsidP="006C0E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Študenti, ktorí majú so zamestnávateľom uzatvorenú dohodu o brigádnickej práci študentov, majú stále možnosť určiť jednu z nich na neplatenie poistného na dôchodkové poistenie ( „výnimka“). </w:t>
      </w:r>
    </w:p>
    <w:p w:rsidR="006C0E4A" w:rsidRDefault="006C0E4A" w:rsidP="006C0E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 má žiak alebo študent uzatvorených viacero dohôd o brigádnickej práci študentov, určiť si môže na neplatenie poistného na dôchodkové poistenie iba jednu z nich. </w:t>
      </w:r>
    </w:p>
    <w:p w:rsidR="006C0E4A" w:rsidRDefault="006C0E4A" w:rsidP="006C0E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Podmienky pre určenie výnimky zostávajú rovnaké:</w:t>
      </w:r>
    </w:p>
    <w:p w:rsidR="006C0E4A" w:rsidRPr="006C0E4A" w:rsidRDefault="006C0E4A" w:rsidP="006C0E4A">
      <w:pPr>
        <w:pStyle w:val="Odsekzoznamu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C0E4A">
        <w:rPr>
          <w:rFonts w:ascii="Arial" w:hAnsi="Arial" w:cs="Arial"/>
          <w:sz w:val="20"/>
          <w:szCs w:val="20"/>
        </w:rPr>
        <w:t xml:space="preserve">druh dohody – dohoda o brigádnickej práci študentov, </w:t>
      </w:r>
    </w:p>
    <w:p w:rsidR="006C0E4A" w:rsidRPr="006C0E4A" w:rsidRDefault="006C0E4A" w:rsidP="006C0E4A">
      <w:pPr>
        <w:pStyle w:val="Odsekzoznamu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C0E4A">
        <w:rPr>
          <w:rFonts w:ascii="Arial" w:hAnsi="Arial" w:cs="Arial"/>
          <w:sz w:val="20"/>
          <w:szCs w:val="20"/>
        </w:rPr>
        <w:t xml:space="preserve">určenie tejto dohody žiakom alebo študentom na neplatenie poistného, </w:t>
      </w:r>
    </w:p>
    <w:p w:rsidR="005E68F7" w:rsidRPr="006C0E4A" w:rsidRDefault="006C0E4A" w:rsidP="005E68F7">
      <w:pPr>
        <w:pStyle w:val="Odsekzoznamu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C0E4A">
        <w:rPr>
          <w:rFonts w:ascii="Arial" w:hAnsi="Arial" w:cs="Arial"/>
          <w:sz w:val="20"/>
          <w:szCs w:val="20"/>
        </w:rPr>
        <w:t xml:space="preserve">nepresiahnutie zákonom stanovenej hranice mesačného príjmu (pri dohode s pravidelným mesačným príjmom), resp. priemerného mesačného príjmu (pri dohode s nepravidelným príjmom). 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E68F7" w:rsidRPr="005E68F7" w:rsidTr="005E68F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F7" w:rsidRPr="005E68F7" w:rsidRDefault="005E68F7" w:rsidP="005E68F7">
            <w:pPr>
              <w:spacing w:after="200" w:line="276" w:lineRule="auto"/>
              <w:rPr>
                <w:rFonts w:ascii="Verdana" w:eastAsia="Times New Roman" w:hAnsi="Verdana" w:cs="Arial"/>
                <w:color w:val="3E3E3E"/>
                <w:sz w:val="18"/>
                <w:szCs w:val="18"/>
                <w:lang w:eastAsia="sk-SK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Pr="005E68F7" w:rsidRDefault="005E68F7" w:rsidP="005E68F7">
            <w:pPr>
              <w:spacing w:after="200" w:line="276" w:lineRule="auto"/>
              <w:rPr>
                <w:rFonts w:ascii="Verdana" w:eastAsia="Times New Roman" w:hAnsi="Verdana" w:cs="Arial"/>
                <w:color w:val="3E3E3E"/>
                <w:sz w:val="18"/>
                <w:szCs w:val="18"/>
                <w:lang w:eastAsia="sk-SK"/>
              </w:rPr>
            </w:pPr>
            <w:r w:rsidRPr="005E68F7">
              <w:rPr>
                <w:rFonts w:ascii="Verdana" w:eastAsia="Times New Roman" w:hAnsi="Verdana" w:cs="Arial"/>
                <w:color w:val="3E3E3E"/>
                <w:sz w:val="18"/>
                <w:szCs w:val="18"/>
                <w:lang w:eastAsia="sk-SK"/>
              </w:rPr>
              <w:t>Pôvodná hodnota 2014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Pr="005E68F7" w:rsidRDefault="005E68F7" w:rsidP="005E68F7">
            <w:pPr>
              <w:spacing w:after="200" w:line="276" w:lineRule="auto"/>
              <w:rPr>
                <w:rFonts w:ascii="Verdana" w:eastAsia="Times New Roman" w:hAnsi="Verdana" w:cs="Arial"/>
                <w:color w:val="3E3E3E"/>
                <w:sz w:val="18"/>
                <w:szCs w:val="18"/>
                <w:lang w:eastAsia="sk-SK"/>
              </w:rPr>
            </w:pPr>
            <w:r w:rsidRPr="005E68F7">
              <w:rPr>
                <w:rFonts w:ascii="Verdana" w:eastAsia="Times New Roman" w:hAnsi="Verdana" w:cs="Arial"/>
                <w:color w:val="3E3E3E"/>
                <w:sz w:val="18"/>
                <w:szCs w:val="18"/>
                <w:lang w:eastAsia="sk-SK"/>
              </w:rPr>
              <w:t>Nová hodnota 2015</w:t>
            </w:r>
          </w:p>
        </w:tc>
      </w:tr>
      <w:tr w:rsidR="005E68F7" w:rsidRPr="005E68F7" w:rsidTr="005E68F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Pr="005E68F7" w:rsidRDefault="005E68F7" w:rsidP="005E68F7">
            <w:pPr>
              <w:spacing w:after="200" w:line="276" w:lineRule="auto"/>
              <w:rPr>
                <w:rFonts w:ascii="Verdana" w:eastAsia="Times New Roman" w:hAnsi="Verdana" w:cs="Arial"/>
                <w:color w:val="3E3E3E"/>
                <w:sz w:val="18"/>
                <w:szCs w:val="18"/>
                <w:lang w:eastAsia="sk-SK"/>
              </w:rPr>
            </w:pPr>
            <w:r w:rsidRPr="005E68F7">
              <w:rPr>
                <w:rFonts w:ascii="Verdana" w:eastAsia="Times New Roman" w:hAnsi="Verdana" w:cs="Arial"/>
                <w:color w:val="3E3E3E"/>
                <w:sz w:val="18"/>
                <w:szCs w:val="18"/>
                <w:lang w:eastAsia="sk-SK"/>
              </w:rPr>
              <w:t>Do 18 rokov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Pr="005E68F7" w:rsidRDefault="005E68F7" w:rsidP="005E68F7">
            <w:pPr>
              <w:spacing w:after="200" w:line="276" w:lineRule="auto"/>
              <w:rPr>
                <w:rFonts w:ascii="Verdana" w:eastAsia="Times New Roman" w:hAnsi="Verdana" w:cs="Arial"/>
                <w:color w:val="3E3E3E"/>
                <w:sz w:val="18"/>
                <w:szCs w:val="18"/>
                <w:lang w:eastAsia="sk-SK"/>
              </w:rPr>
            </w:pPr>
            <w:r w:rsidRPr="005E68F7">
              <w:rPr>
                <w:rFonts w:ascii="Verdana" w:eastAsia="Times New Roman" w:hAnsi="Verdana" w:cs="Arial"/>
                <w:color w:val="3E3E3E"/>
                <w:sz w:val="18"/>
                <w:szCs w:val="18"/>
                <w:lang w:eastAsia="sk-SK"/>
              </w:rPr>
              <w:t>68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Pr="005E68F7" w:rsidRDefault="005E68F7" w:rsidP="005E68F7">
            <w:pPr>
              <w:spacing w:after="200" w:line="276" w:lineRule="auto"/>
              <w:rPr>
                <w:rFonts w:ascii="Verdana" w:eastAsia="Times New Roman" w:hAnsi="Verdana" w:cs="Arial"/>
                <w:color w:val="3E3E3E"/>
                <w:sz w:val="18"/>
                <w:szCs w:val="18"/>
                <w:lang w:eastAsia="sk-SK"/>
              </w:rPr>
            </w:pPr>
            <w:r w:rsidRPr="005E68F7">
              <w:rPr>
                <w:rFonts w:ascii="Verdana" w:eastAsia="Times New Roman" w:hAnsi="Verdana" w:cs="Arial"/>
                <w:color w:val="3E3E3E"/>
                <w:sz w:val="18"/>
                <w:szCs w:val="18"/>
                <w:lang w:eastAsia="sk-SK"/>
              </w:rPr>
              <w:t>200</w:t>
            </w:r>
          </w:p>
        </w:tc>
      </w:tr>
      <w:tr w:rsidR="005E68F7" w:rsidRPr="005E68F7" w:rsidTr="005E68F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Pr="005E68F7" w:rsidRDefault="005E68F7" w:rsidP="005E68F7">
            <w:pPr>
              <w:spacing w:after="200" w:line="276" w:lineRule="auto"/>
              <w:rPr>
                <w:rFonts w:ascii="Verdana" w:eastAsia="Times New Roman" w:hAnsi="Verdana" w:cs="Arial"/>
                <w:color w:val="3E3E3E"/>
                <w:sz w:val="18"/>
                <w:szCs w:val="18"/>
                <w:lang w:eastAsia="sk-SK"/>
              </w:rPr>
            </w:pPr>
            <w:r w:rsidRPr="005E68F7">
              <w:rPr>
                <w:rFonts w:ascii="Verdana" w:eastAsia="Times New Roman" w:hAnsi="Verdana" w:cs="Arial"/>
                <w:color w:val="3E3E3E"/>
                <w:sz w:val="18"/>
                <w:szCs w:val="18"/>
                <w:lang w:eastAsia="sk-SK"/>
              </w:rPr>
              <w:t>Do 26 rokov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Pr="005E68F7" w:rsidRDefault="005E68F7" w:rsidP="005E68F7">
            <w:pPr>
              <w:spacing w:after="200" w:line="276" w:lineRule="auto"/>
              <w:rPr>
                <w:rFonts w:ascii="Verdana" w:eastAsia="Times New Roman" w:hAnsi="Verdana" w:cs="Arial"/>
                <w:color w:val="3E3E3E"/>
                <w:sz w:val="18"/>
                <w:szCs w:val="18"/>
                <w:lang w:eastAsia="sk-SK"/>
              </w:rPr>
            </w:pPr>
            <w:r w:rsidRPr="005E68F7">
              <w:rPr>
                <w:rFonts w:ascii="Verdana" w:eastAsia="Times New Roman" w:hAnsi="Verdana" w:cs="Arial"/>
                <w:color w:val="3E3E3E"/>
                <w:sz w:val="18"/>
                <w:szCs w:val="18"/>
                <w:lang w:eastAsia="sk-SK"/>
              </w:rPr>
              <w:t>159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Pr="005E68F7" w:rsidRDefault="005E68F7" w:rsidP="005E68F7">
            <w:pPr>
              <w:spacing w:after="200" w:line="276" w:lineRule="auto"/>
              <w:rPr>
                <w:rFonts w:ascii="Verdana" w:eastAsia="Times New Roman" w:hAnsi="Verdana" w:cs="Arial"/>
                <w:color w:val="3E3E3E"/>
                <w:sz w:val="18"/>
                <w:szCs w:val="18"/>
                <w:lang w:eastAsia="sk-SK"/>
              </w:rPr>
            </w:pPr>
            <w:r w:rsidRPr="005E68F7">
              <w:rPr>
                <w:rFonts w:ascii="Verdana" w:eastAsia="Times New Roman" w:hAnsi="Verdana" w:cs="Arial"/>
                <w:color w:val="3E3E3E"/>
                <w:sz w:val="18"/>
                <w:szCs w:val="18"/>
                <w:lang w:eastAsia="sk-SK"/>
              </w:rPr>
              <w:t>200</w:t>
            </w:r>
          </w:p>
        </w:tc>
      </w:tr>
    </w:tbl>
    <w:p w:rsidR="005E68F7" w:rsidRPr="005E68F7" w:rsidRDefault="005E68F7" w:rsidP="005E68F7">
      <w:p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5E68F7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Poznámka: - obe vekové kategórie majú v roku 2015 rovnakú sumu – 200 eur</w:t>
      </w:r>
    </w:p>
    <w:p w:rsidR="005E68F7" w:rsidRPr="005E68F7" w:rsidRDefault="005E68F7" w:rsidP="005E68F7">
      <w:p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</w:p>
    <w:p w:rsidR="005E68F7" w:rsidRPr="005E68F7" w:rsidRDefault="005E68F7" w:rsidP="005E68F7">
      <w:p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5E68F7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Dlhodobo nezamestnaní ZC (lcs.karta_zam21.nup_bez_fonodv_za_podnik)</w:t>
      </w:r>
    </w:p>
    <w:p w:rsidR="005E68F7" w:rsidRPr="005E68F7" w:rsidRDefault="005E68F7" w:rsidP="005E68F7">
      <w:p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5E68F7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hranica mesačného príjmu, do ktorého sa uplatní výnimka pri platení poistného u dlhodobo nezamestnaných občanov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E68F7" w:rsidRPr="005E68F7" w:rsidTr="005E68F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F7" w:rsidRPr="005E68F7" w:rsidRDefault="005E68F7" w:rsidP="005E68F7">
            <w:pPr>
              <w:spacing w:after="200" w:line="276" w:lineRule="auto"/>
              <w:rPr>
                <w:rFonts w:ascii="Verdana" w:eastAsia="Times New Roman" w:hAnsi="Verdana" w:cs="Arial"/>
                <w:color w:val="3E3E3E"/>
                <w:sz w:val="18"/>
                <w:szCs w:val="18"/>
                <w:lang w:eastAsia="sk-SK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Pr="005E68F7" w:rsidRDefault="005E68F7" w:rsidP="005E68F7">
            <w:pPr>
              <w:spacing w:after="200" w:line="276" w:lineRule="auto"/>
              <w:rPr>
                <w:rFonts w:ascii="Verdana" w:eastAsia="Times New Roman" w:hAnsi="Verdana" w:cs="Arial"/>
                <w:color w:val="3E3E3E"/>
                <w:sz w:val="18"/>
                <w:szCs w:val="18"/>
                <w:lang w:eastAsia="sk-SK"/>
              </w:rPr>
            </w:pPr>
            <w:r w:rsidRPr="005E68F7">
              <w:rPr>
                <w:rFonts w:ascii="Verdana" w:eastAsia="Times New Roman" w:hAnsi="Verdana" w:cs="Arial"/>
                <w:color w:val="3E3E3E"/>
                <w:sz w:val="18"/>
                <w:szCs w:val="18"/>
                <w:lang w:eastAsia="sk-SK"/>
              </w:rPr>
              <w:t>Pôvodná hodnota 2013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Pr="005E68F7" w:rsidRDefault="005E68F7" w:rsidP="005E68F7">
            <w:pPr>
              <w:spacing w:after="200" w:line="276" w:lineRule="auto"/>
              <w:rPr>
                <w:rFonts w:ascii="Verdana" w:eastAsia="Times New Roman" w:hAnsi="Verdana" w:cs="Arial"/>
                <w:color w:val="3E3E3E"/>
                <w:sz w:val="18"/>
                <w:szCs w:val="18"/>
                <w:lang w:eastAsia="sk-SK"/>
              </w:rPr>
            </w:pPr>
            <w:r w:rsidRPr="005E68F7">
              <w:rPr>
                <w:rFonts w:ascii="Verdana" w:eastAsia="Times New Roman" w:hAnsi="Verdana" w:cs="Arial"/>
                <w:color w:val="3E3E3E"/>
                <w:sz w:val="18"/>
                <w:szCs w:val="18"/>
                <w:lang w:eastAsia="sk-SK"/>
              </w:rPr>
              <w:t>Nová hodnota 2014</w:t>
            </w:r>
          </w:p>
        </w:tc>
      </w:tr>
      <w:tr w:rsidR="005E68F7" w:rsidRPr="005E68F7" w:rsidTr="005E68F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Pr="005E68F7" w:rsidRDefault="005E68F7" w:rsidP="005E68F7">
            <w:pPr>
              <w:spacing w:after="200" w:line="276" w:lineRule="auto"/>
              <w:rPr>
                <w:rFonts w:ascii="Verdana" w:eastAsia="Times New Roman" w:hAnsi="Verdana" w:cs="Arial"/>
                <w:color w:val="3E3E3E"/>
                <w:sz w:val="18"/>
                <w:szCs w:val="18"/>
                <w:lang w:eastAsia="sk-SK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Pr="005E68F7" w:rsidRDefault="005E68F7" w:rsidP="005E68F7">
            <w:pPr>
              <w:spacing w:after="200" w:line="276" w:lineRule="auto"/>
              <w:rPr>
                <w:rFonts w:ascii="Verdana" w:eastAsia="Times New Roman" w:hAnsi="Verdana" w:cs="Arial"/>
                <w:color w:val="3E3E3E"/>
                <w:sz w:val="18"/>
                <w:szCs w:val="18"/>
                <w:lang w:eastAsia="sk-SK"/>
              </w:rPr>
            </w:pPr>
            <w:r w:rsidRPr="005E68F7">
              <w:rPr>
                <w:rFonts w:ascii="Verdana" w:eastAsia="Times New Roman" w:hAnsi="Verdana" w:cs="Arial"/>
                <w:color w:val="3E3E3E"/>
                <w:sz w:val="18"/>
                <w:szCs w:val="18"/>
                <w:lang w:eastAsia="sk-SK"/>
              </w:rPr>
              <w:t>539,35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7" w:rsidRPr="005E68F7" w:rsidRDefault="005E68F7" w:rsidP="005E68F7">
            <w:pPr>
              <w:spacing w:after="200" w:line="276" w:lineRule="auto"/>
              <w:rPr>
                <w:rFonts w:ascii="Verdana" w:eastAsia="Times New Roman" w:hAnsi="Verdana" w:cs="Arial"/>
                <w:color w:val="3E3E3E"/>
                <w:sz w:val="18"/>
                <w:szCs w:val="18"/>
                <w:lang w:eastAsia="sk-SK"/>
              </w:rPr>
            </w:pPr>
            <w:r w:rsidRPr="005E68F7">
              <w:rPr>
                <w:rFonts w:ascii="Verdana" w:eastAsia="Times New Roman" w:hAnsi="Verdana" w:cs="Arial"/>
                <w:color w:val="3E3E3E"/>
                <w:sz w:val="18"/>
                <w:szCs w:val="18"/>
                <w:lang w:eastAsia="sk-SK"/>
              </w:rPr>
              <w:t>552,08</w:t>
            </w:r>
          </w:p>
        </w:tc>
      </w:tr>
    </w:tbl>
    <w:p w:rsidR="005E68F7" w:rsidRPr="005E68F7" w:rsidRDefault="005E68F7" w:rsidP="005E68F7">
      <w:p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</w:p>
    <w:p w:rsidR="005E68F7" w:rsidRDefault="005E68F7" w:rsidP="005E68F7">
      <w:pPr>
        <w:rPr>
          <w:b/>
        </w:rPr>
      </w:pPr>
    </w:p>
    <w:p w:rsidR="005E68F7" w:rsidRDefault="005E68F7"/>
    <w:p w:rsidR="00CB40DC" w:rsidRPr="00CB40DC" w:rsidRDefault="00CB40DC">
      <w:pPr>
        <w:rPr>
          <w:rFonts w:ascii="Verdana" w:eastAsia="Times New Roman" w:hAnsi="Verdana" w:cs="Arial"/>
          <w:b/>
          <w:color w:val="3E3E3E"/>
          <w:sz w:val="18"/>
          <w:szCs w:val="18"/>
          <w:lang w:eastAsia="sk-SK"/>
        </w:rPr>
      </w:pPr>
      <w:r w:rsidRPr="00B16987">
        <w:rPr>
          <w:rFonts w:ascii="Verdana" w:eastAsia="Times New Roman" w:hAnsi="Verdana" w:cs="Arial"/>
          <w:b/>
          <w:color w:val="3E3E3E"/>
          <w:sz w:val="18"/>
          <w:szCs w:val="18"/>
          <w:highlight w:val="yellow"/>
          <w:lang w:eastAsia="sk-SK"/>
        </w:rPr>
        <w:t>Ročné zúčtovanie dane 2014</w:t>
      </w:r>
    </w:p>
    <w:p w:rsidR="00CB40DC" w:rsidRPr="00530EB1" w:rsidRDefault="00CB40DC" w:rsidP="00CB40D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Arial"/>
          <w:b/>
          <w:color w:val="3E3E3E"/>
          <w:sz w:val="18"/>
          <w:szCs w:val="18"/>
          <w:lang w:eastAsia="sk-SK"/>
        </w:rPr>
      </w:pPr>
      <w:r w:rsidRPr="00530EB1">
        <w:rPr>
          <w:rFonts w:ascii="Verdana" w:eastAsia="Times New Roman" w:hAnsi="Verdana" w:cs="Arial"/>
          <w:b/>
          <w:color w:val="3E3E3E"/>
          <w:sz w:val="18"/>
          <w:szCs w:val="18"/>
          <w:lang w:eastAsia="sk-SK"/>
        </w:rPr>
        <w:t xml:space="preserve">1 - </w:t>
      </w:r>
      <w:r w:rsidRPr="00CB40DC">
        <w:rPr>
          <w:rFonts w:ascii="Verdana" w:eastAsia="Times New Roman" w:hAnsi="Verdana" w:cs="Arial"/>
          <w:b/>
          <w:color w:val="3E3E3E"/>
          <w:sz w:val="18"/>
          <w:szCs w:val="18"/>
          <w:lang w:eastAsia="sk-SK"/>
        </w:rPr>
        <w:t>Žiadosť o vykonanie ročného zúčtovania preddavkov na daň za rok 2014</w:t>
      </w:r>
    </w:p>
    <w:p w:rsidR="00CB40DC" w:rsidRPr="00CB40DC" w:rsidRDefault="00CB40DC" w:rsidP="00CB40DC">
      <w:p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CB40DC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Termín: do 16.2.2015</w:t>
      </w:r>
    </w:p>
    <w:p w:rsidR="00CB40DC" w:rsidRDefault="00CB40DC" w:rsidP="00CB40DC">
      <w:p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CB40DC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Aktuálne zostavy s vyplneným záhlavím sú pridané do zoznamu šablón v triede Karta zamestnanca. Zostavy s ďalšími vyplnenými údajmi podľa vytvoreného </w:t>
      </w:r>
      <w:r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záznamu</w:t>
      </w:r>
      <w:r w:rsidRPr="00CB40DC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sú pridané do zoznamu šablón v triede Ročné zúčtovanie dane.</w:t>
      </w:r>
    </w:p>
    <w:p w:rsidR="00C679FF" w:rsidRPr="00EE039C" w:rsidRDefault="00C679FF">
      <w:pPr>
        <w:rPr>
          <w:rFonts w:ascii="Verdana" w:eastAsia="Times New Roman" w:hAnsi="Verdana" w:cs="Arial"/>
          <w:b/>
          <w:color w:val="3E3E3E"/>
          <w:sz w:val="18"/>
          <w:szCs w:val="18"/>
          <w:lang w:eastAsia="sk-SK"/>
        </w:rPr>
      </w:pPr>
      <w:r w:rsidRPr="00EE039C">
        <w:rPr>
          <w:rFonts w:ascii="Verdana" w:eastAsia="Times New Roman" w:hAnsi="Verdana" w:cs="Arial"/>
          <w:b/>
          <w:color w:val="3E3E3E"/>
          <w:sz w:val="18"/>
          <w:szCs w:val="18"/>
          <w:lang w:eastAsia="sk-SK"/>
        </w:rPr>
        <w:t>2 – Ročné zúčtovanie dane</w:t>
      </w:r>
    </w:p>
    <w:p w:rsidR="00C679FF" w:rsidRPr="00CB40DC" w:rsidRDefault="00C679FF" w:rsidP="00C679FF">
      <w:p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CB40DC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Termín: do 31.3.2015</w:t>
      </w:r>
    </w:p>
    <w:p w:rsidR="00C679FF" w:rsidRDefault="00CB40DC">
      <w:p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>
        <w:rPr>
          <w:rFonts w:ascii="Verdana" w:hAnsi="Verdana" w:cs="Arial"/>
          <w:color w:val="3E3E3E"/>
          <w:sz w:val="23"/>
          <w:szCs w:val="23"/>
        </w:rPr>
        <w:br/>
      </w:r>
      <w:r w:rsidRPr="00EE039C">
        <w:rPr>
          <w:rFonts w:ascii="Verdana" w:eastAsia="Times New Roman" w:hAnsi="Verdana" w:cs="Arial"/>
          <w:color w:val="3E3E3E"/>
          <w:sz w:val="18"/>
          <w:szCs w:val="18"/>
          <w:highlight w:val="lightGray"/>
          <w:lang w:eastAsia="sk-SK"/>
        </w:rPr>
        <w:t>- nezdaniteľná časť základu dane na daňovníka</w:t>
      </w:r>
      <w:r w:rsidR="00C679FF" w:rsidRPr="00EE039C">
        <w:rPr>
          <w:rFonts w:ascii="Verdana" w:eastAsia="Times New Roman" w:hAnsi="Verdana" w:cs="Arial"/>
          <w:color w:val="3E3E3E"/>
          <w:sz w:val="18"/>
          <w:szCs w:val="18"/>
          <w:highlight w:val="lightGray"/>
          <w:lang w:eastAsia="sk-SK"/>
        </w:rPr>
        <w:t xml:space="preserve"> – ročná výška </w:t>
      </w:r>
      <w:r w:rsidR="00C679FF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– </w:t>
      </w:r>
      <w:r w:rsidR="00530EB1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3803,33 Eur</w:t>
      </w:r>
    </w:p>
    <w:p w:rsidR="00530EB1" w:rsidRDefault="00530EB1">
      <w:p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Výšku zaplatenej preddavkovej dane program zobrazí v položke pri </w:t>
      </w:r>
      <w:proofErr w:type="spellStart"/>
      <w:r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predplnení</w:t>
      </w:r>
      <w:proofErr w:type="spellEnd"/>
      <w:r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</w:t>
      </w:r>
      <w:proofErr w:type="spellStart"/>
      <w:r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rzd</w:t>
      </w:r>
      <w:proofErr w:type="spellEnd"/>
      <w:r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, alebo dopíšete hodnotu z Potvrdení o príjme. </w:t>
      </w:r>
      <w:r w:rsid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Pri uložení záznamu program podľa dosiahnutého základu dane prepočíta hodnoty </w:t>
      </w:r>
      <w:proofErr w:type="spellStart"/>
      <w:r w:rsid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odpočitateľnej</w:t>
      </w:r>
      <w:proofErr w:type="spellEnd"/>
      <w:r w:rsid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položky za rok 2014 nasledovne:</w:t>
      </w:r>
    </w:p>
    <w:p w:rsidR="005E31D3" w:rsidRDefault="005E31D3" w:rsidP="005E31D3">
      <w:pPr>
        <w:pStyle w:val="Odsekzoznamu"/>
        <w:numPr>
          <w:ilvl w:val="0"/>
          <w:numId w:val="1"/>
        </w:num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Ak ZC</w:t>
      </w:r>
      <w:r w:rsidR="00530EB1"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dosiahne základ dane do </w:t>
      </w:r>
      <w:r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výšky </w:t>
      </w:r>
      <w:r w:rsidR="00530EB1"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19809 eur</w:t>
      </w:r>
      <w:r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– výška </w:t>
      </w:r>
      <w:proofErr w:type="spellStart"/>
      <w:r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odpočitateľnej</w:t>
      </w:r>
      <w:proofErr w:type="spellEnd"/>
      <w:r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položky sa neupravuje a uplatní sa v plnej výške3803,33 Eur.</w:t>
      </w:r>
    </w:p>
    <w:p w:rsidR="005E31D3" w:rsidRDefault="005E31D3" w:rsidP="005E31D3">
      <w:pPr>
        <w:pStyle w:val="Odsekzoznamu"/>
        <w:numPr>
          <w:ilvl w:val="0"/>
          <w:numId w:val="1"/>
        </w:num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Ak </w:t>
      </w:r>
      <w:r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ZC</w:t>
      </w:r>
      <w:r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dosiahne základ dane </w:t>
      </w:r>
      <w:r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od</w:t>
      </w:r>
      <w:r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19809</w:t>
      </w:r>
      <w:r w:rsidR="0057777F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,00</w:t>
      </w:r>
      <w:r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</w:t>
      </w:r>
      <w:r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do 35022,31 E</w:t>
      </w:r>
      <w:r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ur, tak nezdaniteľná časť na daňovníka sa </w:t>
      </w:r>
      <w:r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alikvotne zníži podľa vzorca: </w:t>
      </w:r>
      <w:r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8755,578 – (základ dane : 4).</w:t>
      </w:r>
    </w:p>
    <w:p w:rsidR="005E31D3" w:rsidRPr="005E31D3" w:rsidRDefault="005E31D3" w:rsidP="005E31D3">
      <w:pPr>
        <w:pStyle w:val="Odsekzoznamu"/>
        <w:numPr>
          <w:ilvl w:val="0"/>
          <w:numId w:val="1"/>
        </w:num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Ak </w:t>
      </w:r>
      <w:r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ZC</w:t>
      </w:r>
      <w:r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dosiahne základ dane 35022,32 eura a viac, nezdaniteľná časť </w:t>
      </w:r>
      <w:r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=</w:t>
      </w:r>
      <w:r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nula.</w:t>
      </w:r>
    </w:p>
    <w:p w:rsidR="00C679FF" w:rsidRDefault="00CB40DC">
      <w:p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C679FF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br/>
      </w:r>
      <w:r w:rsidRPr="00EE039C">
        <w:rPr>
          <w:rFonts w:ascii="Verdana" w:eastAsia="Times New Roman" w:hAnsi="Verdana" w:cs="Arial"/>
          <w:color w:val="3E3E3E"/>
          <w:sz w:val="18"/>
          <w:szCs w:val="18"/>
          <w:highlight w:val="lightGray"/>
          <w:lang w:eastAsia="sk-SK"/>
        </w:rPr>
        <w:t xml:space="preserve">- nezdaniteľná časť základu dane na manželku </w:t>
      </w:r>
      <w:r w:rsidR="00C679FF" w:rsidRPr="00EE039C">
        <w:rPr>
          <w:rFonts w:ascii="Verdana" w:eastAsia="Times New Roman" w:hAnsi="Verdana" w:cs="Arial"/>
          <w:color w:val="3E3E3E"/>
          <w:sz w:val="18"/>
          <w:szCs w:val="18"/>
          <w:highlight w:val="lightGray"/>
          <w:lang w:eastAsia="sk-SK"/>
        </w:rPr>
        <w:t>–</w:t>
      </w:r>
      <w:r w:rsidRPr="00EE039C">
        <w:rPr>
          <w:rFonts w:ascii="Verdana" w:eastAsia="Times New Roman" w:hAnsi="Verdana" w:cs="Arial"/>
          <w:color w:val="3E3E3E"/>
          <w:sz w:val="18"/>
          <w:szCs w:val="18"/>
          <w:highlight w:val="lightGray"/>
          <w:lang w:eastAsia="sk-SK"/>
        </w:rPr>
        <w:t xml:space="preserve"> manžela</w:t>
      </w:r>
      <w:r w:rsidR="00C679FF" w:rsidRPr="00EE039C">
        <w:rPr>
          <w:rFonts w:ascii="Verdana" w:eastAsia="Times New Roman" w:hAnsi="Verdana" w:cs="Arial"/>
          <w:color w:val="3E3E3E"/>
          <w:sz w:val="18"/>
          <w:szCs w:val="18"/>
          <w:highlight w:val="lightGray"/>
          <w:lang w:eastAsia="sk-SK"/>
        </w:rPr>
        <w:t xml:space="preserve"> – ročná výška </w:t>
      </w:r>
      <w:r w:rsidR="00C679FF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– </w:t>
      </w:r>
    </w:p>
    <w:p w:rsidR="005E31D3" w:rsidRDefault="005E31D3" w:rsidP="005E31D3">
      <w:p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Výšku </w:t>
      </w:r>
      <w:r w:rsidR="0057777F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príjmu manželky/la </w:t>
      </w:r>
      <w:r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dopíšete </w:t>
      </w:r>
      <w:r w:rsidR="0057777F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do príslušnej položky o formulári </w:t>
      </w:r>
      <w:proofErr w:type="spellStart"/>
      <w:r w:rsidR="0057777F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rzd</w:t>
      </w:r>
      <w:proofErr w:type="spellEnd"/>
      <w:r w:rsidR="0057777F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. </w:t>
      </w:r>
      <w:r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Pri uložení záznamu program podľa dosiahnutého základu dane prepočíta hodnoty </w:t>
      </w:r>
      <w:proofErr w:type="spellStart"/>
      <w:r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odpočitateľnej</w:t>
      </w:r>
      <w:proofErr w:type="spellEnd"/>
      <w:r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položky za rok 2014 nasledovne:</w:t>
      </w:r>
    </w:p>
    <w:p w:rsidR="005E31D3" w:rsidRDefault="005E31D3" w:rsidP="005E31D3">
      <w:pPr>
        <w:pStyle w:val="Odsekzoznamu"/>
        <w:numPr>
          <w:ilvl w:val="0"/>
          <w:numId w:val="1"/>
        </w:num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lastRenderedPageBreak/>
        <w:t xml:space="preserve">Ak ZC dosiahne základ dane do výšky </w:t>
      </w:r>
      <w:r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35022,31</w:t>
      </w:r>
      <w:r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eur – výška </w:t>
      </w:r>
      <w:proofErr w:type="spellStart"/>
      <w:r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odpočitateľnej</w:t>
      </w:r>
      <w:proofErr w:type="spellEnd"/>
      <w:r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položky </w:t>
      </w:r>
      <w:r w:rsidR="0057777F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na manželku/la </w:t>
      </w:r>
      <w:r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sa </w:t>
      </w:r>
      <w:r w:rsidR="0057777F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uplatní tak, že od sumy 3803,03 odpočíta vlastný príjme manželky</w:t>
      </w:r>
    </w:p>
    <w:p w:rsidR="005E31D3" w:rsidRDefault="005E31D3" w:rsidP="005E31D3">
      <w:pPr>
        <w:pStyle w:val="Odsekzoznamu"/>
        <w:numPr>
          <w:ilvl w:val="0"/>
          <w:numId w:val="1"/>
        </w:num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Ak </w:t>
      </w:r>
      <w:r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ZC</w:t>
      </w:r>
      <w:r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dosiahne základ dane </w:t>
      </w:r>
      <w:r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od</w:t>
      </w:r>
      <w:r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</w:t>
      </w:r>
      <w:r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35022,3</w:t>
      </w:r>
      <w:r w:rsidR="0057777F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2 do 50235,62</w:t>
      </w:r>
      <w:r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E</w:t>
      </w:r>
      <w:r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ur, </w:t>
      </w:r>
      <w:r w:rsidR="0057777F"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výška </w:t>
      </w:r>
      <w:proofErr w:type="spellStart"/>
      <w:r w:rsidR="0057777F"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odpočitateľnej</w:t>
      </w:r>
      <w:proofErr w:type="spellEnd"/>
      <w:r w:rsidR="0057777F"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položky </w:t>
      </w:r>
      <w:r w:rsidR="0057777F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na manželku/la </w:t>
      </w:r>
      <w:r w:rsidR="0057777F"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sa </w:t>
      </w:r>
      <w:r w:rsidR="0057777F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uplatní </w:t>
      </w:r>
      <w:r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podľa vzorca: </w:t>
      </w:r>
      <w:r w:rsidR="0057777F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12558,906</w:t>
      </w:r>
      <w:r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– (základ dane : 4)</w:t>
      </w:r>
      <w:r w:rsidR="0057777F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– vlastný príjem manželky</w:t>
      </w:r>
      <w:r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.</w:t>
      </w:r>
    </w:p>
    <w:p w:rsidR="005E31D3" w:rsidRPr="005E31D3" w:rsidRDefault="005E31D3" w:rsidP="005E31D3">
      <w:pPr>
        <w:pStyle w:val="Odsekzoznamu"/>
        <w:numPr>
          <w:ilvl w:val="0"/>
          <w:numId w:val="1"/>
        </w:num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Ak </w:t>
      </w:r>
      <w:r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ZC</w:t>
      </w:r>
      <w:r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dosiahne základ dane </w:t>
      </w:r>
      <w:r w:rsidR="0057777F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50235,63</w:t>
      </w:r>
      <w:r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eura a viac, nezdaniteľná časť </w:t>
      </w:r>
      <w:r w:rsidR="0057777F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na manželku </w:t>
      </w:r>
      <w:r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=</w:t>
      </w:r>
      <w:r w:rsidRPr="005E31D3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nula.</w:t>
      </w:r>
    </w:p>
    <w:p w:rsidR="00EE039C" w:rsidRDefault="00CB40DC">
      <w:p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C679FF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br/>
      </w:r>
      <w:r w:rsidRPr="00EE039C">
        <w:rPr>
          <w:rFonts w:ascii="Verdana" w:eastAsia="Times New Roman" w:hAnsi="Verdana" w:cs="Arial"/>
          <w:color w:val="3E3E3E"/>
          <w:sz w:val="18"/>
          <w:szCs w:val="18"/>
          <w:highlight w:val="lightGray"/>
          <w:lang w:eastAsia="sk-SK"/>
        </w:rPr>
        <w:t xml:space="preserve">- suma preukázateľne zaplatených príspevkov na </w:t>
      </w:r>
      <w:r w:rsidR="00C679FF" w:rsidRPr="00EE039C">
        <w:rPr>
          <w:rFonts w:ascii="Verdana" w:eastAsia="Times New Roman" w:hAnsi="Verdana" w:cs="Arial"/>
          <w:color w:val="3E3E3E"/>
          <w:sz w:val="18"/>
          <w:szCs w:val="18"/>
          <w:highlight w:val="lightGray"/>
          <w:lang w:eastAsia="sk-SK"/>
        </w:rPr>
        <w:t xml:space="preserve">SDS </w:t>
      </w:r>
      <w:r w:rsidRPr="00EE039C">
        <w:rPr>
          <w:rFonts w:ascii="Verdana" w:eastAsia="Times New Roman" w:hAnsi="Verdana" w:cs="Arial"/>
          <w:color w:val="3E3E3E"/>
          <w:sz w:val="18"/>
          <w:szCs w:val="18"/>
          <w:highlight w:val="lightGray"/>
          <w:lang w:eastAsia="sk-SK"/>
        </w:rPr>
        <w:t xml:space="preserve"> (II. pilier)</w:t>
      </w:r>
      <w:r w:rsidR="00C679FF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– </w:t>
      </w:r>
      <w:r w:rsidR="00EE039C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v položke uvediete hodnotu podľa dokladu, ktorý vystavila príslušná dôchodková správcovská spoločnosť, alebo ktoré ste odvádzali ako zamestnávateľ ( suma MZ 051,052,053). Po uložení sa hlavičke formulára  výška príspevku podľa potreby môže ešte upraviť. Zamestnanec si môže za rok 2014 uplatniť 2% zo základu dane, maximálne hodnotu 966,00 eur.</w:t>
      </w:r>
    </w:p>
    <w:p w:rsidR="00C679FF" w:rsidRPr="00C679FF" w:rsidRDefault="00CB40DC">
      <w:p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EE039C">
        <w:rPr>
          <w:rFonts w:ascii="Verdana" w:eastAsia="Times New Roman" w:hAnsi="Verdana" w:cs="Arial"/>
          <w:color w:val="3E3E3E"/>
          <w:sz w:val="18"/>
          <w:szCs w:val="18"/>
          <w:highlight w:val="lightGray"/>
          <w:lang w:eastAsia="sk-SK"/>
        </w:rPr>
        <w:t xml:space="preserve">- </w:t>
      </w:r>
      <w:r w:rsidR="00EE039C" w:rsidRPr="00EE039C">
        <w:rPr>
          <w:rFonts w:ascii="Verdana" w:eastAsia="Times New Roman" w:hAnsi="Verdana" w:cs="Arial"/>
          <w:color w:val="3E3E3E"/>
          <w:sz w:val="18"/>
          <w:szCs w:val="18"/>
          <w:highlight w:val="lightGray"/>
          <w:lang w:eastAsia="sk-SK"/>
        </w:rPr>
        <w:t>NOVÉ</w:t>
      </w:r>
      <w:r w:rsidR="00C679FF" w:rsidRPr="00EE039C">
        <w:rPr>
          <w:rFonts w:ascii="Verdana" w:eastAsia="Times New Roman" w:hAnsi="Verdana" w:cs="Arial"/>
          <w:color w:val="3E3E3E"/>
          <w:sz w:val="18"/>
          <w:szCs w:val="18"/>
          <w:highlight w:val="lightGray"/>
          <w:lang w:eastAsia="sk-SK"/>
        </w:rPr>
        <w:t xml:space="preserve"> - </w:t>
      </w:r>
      <w:r w:rsidRPr="00EE039C">
        <w:rPr>
          <w:rFonts w:ascii="Verdana" w:eastAsia="Times New Roman" w:hAnsi="Verdana" w:cs="Arial"/>
          <w:color w:val="3E3E3E"/>
          <w:sz w:val="18"/>
          <w:szCs w:val="18"/>
          <w:highlight w:val="lightGray"/>
          <w:lang w:eastAsia="sk-SK"/>
        </w:rPr>
        <w:t xml:space="preserve">príspevky na </w:t>
      </w:r>
      <w:r w:rsidR="00C679FF" w:rsidRPr="00EE039C">
        <w:rPr>
          <w:rFonts w:ascii="Verdana" w:eastAsia="Times New Roman" w:hAnsi="Verdana" w:cs="Arial"/>
          <w:color w:val="3E3E3E"/>
          <w:sz w:val="18"/>
          <w:szCs w:val="18"/>
          <w:highlight w:val="lightGray"/>
          <w:lang w:eastAsia="sk-SK"/>
        </w:rPr>
        <w:t xml:space="preserve">DDS </w:t>
      </w:r>
      <w:r w:rsidRPr="00EE039C">
        <w:rPr>
          <w:rFonts w:ascii="Verdana" w:eastAsia="Times New Roman" w:hAnsi="Verdana" w:cs="Arial"/>
          <w:color w:val="3E3E3E"/>
          <w:sz w:val="18"/>
          <w:szCs w:val="18"/>
          <w:highlight w:val="lightGray"/>
          <w:lang w:eastAsia="sk-SK"/>
        </w:rPr>
        <w:t>(III. pilier)</w:t>
      </w:r>
      <w:r w:rsidR="00C679FF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–</w:t>
      </w:r>
      <w:r w:rsidR="00EE039C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si </w:t>
      </w:r>
      <w:r w:rsidR="00C679FF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môže uplatniť zamestnanec </w:t>
      </w:r>
      <w:r w:rsidRPr="00C679FF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ktor</w:t>
      </w:r>
      <w:r w:rsidR="00C679FF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ý</w:t>
      </w:r>
      <w:r w:rsidRPr="00C679FF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</w:t>
      </w:r>
      <w:r w:rsidR="00C679FF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ich </w:t>
      </w:r>
      <w:r w:rsidRPr="00C679FF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zaplatil na základe účastníckej zmluvy uzatvorenej po 31.</w:t>
      </w:r>
      <w:r w:rsidR="00C679FF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12.</w:t>
      </w:r>
      <w:r w:rsidRPr="00C679FF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2013</w:t>
      </w:r>
      <w:r w:rsidR="00EE039C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, </w:t>
      </w:r>
      <w:r w:rsidRPr="00C679FF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alebo na základe zmeny účastníckej zmluvy, ktorej súčasťou je zrušenie dávkového plánu.</w:t>
      </w:r>
      <w:r w:rsidR="00EE039C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ZC musí </w:t>
      </w:r>
      <w:r w:rsidR="00C679FF" w:rsidRPr="00C679FF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predlož</w:t>
      </w:r>
      <w:r w:rsidR="00EE039C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iť</w:t>
      </w:r>
      <w:r w:rsidR="00C679FF" w:rsidRPr="00C679FF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doklad preukazujúci výšku ním zaplatených príspevkov do III. piliera, ktorý mu vystaví </w:t>
      </w:r>
      <w:r w:rsidR="00EE039C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DDS</w:t>
      </w:r>
      <w:r w:rsidR="00C679FF" w:rsidRPr="00C679FF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. Výšku zaplatených príspevkov preukazuje dokladom z DDS aj vtedy, ak príspevky odvádzal z jeho mzdy na jeho žiadosť zamestnávateľ.</w:t>
      </w:r>
      <w:r w:rsidR="00EE039C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Maximálna výška uplatneného príspevku za rok 2014 – 180,00 Eur</w:t>
      </w:r>
    </w:p>
    <w:p w:rsidR="00CB40DC" w:rsidRDefault="00C679FF">
      <w:p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530EB1">
        <w:rPr>
          <w:rFonts w:ascii="Verdana" w:eastAsia="Times New Roman" w:hAnsi="Verdana" w:cs="Arial"/>
          <w:color w:val="3E3E3E"/>
          <w:sz w:val="18"/>
          <w:szCs w:val="18"/>
          <w:highlight w:val="lightGray"/>
          <w:lang w:eastAsia="sk-SK"/>
        </w:rPr>
        <w:t>Zamestnanecká prémia</w:t>
      </w:r>
      <w:r w:rsidRPr="00530EB1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– </w:t>
      </w:r>
      <w:r w:rsidR="00530EB1" w:rsidRPr="00530EB1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maximálna hodnota  = </w:t>
      </w:r>
      <w:r w:rsidRPr="00530EB1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27,60</w:t>
      </w:r>
      <w:r w:rsidR="00530EB1" w:rsidRPr="00530EB1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.  Základ dane z minimálnej mzdy  = 3658,08 Eur.</w:t>
      </w:r>
    </w:p>
    <w:p w:rsidR="005705BD" w:rsidRPr="005705BD" w:rsidRDefault="005705BD" w:rsidP="005705BD">
      <w:pPr>
        <w:pStyle w:val="Odsekzoznamu"/>
        <w:numPr>
          <w:ilvl w:val="0"/>
          <w:numId w:val="1"/>
        </w:num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5705BD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ZC so základom dane za rok 2014 vo výške 3803,33 eur a viac, nemá nárok na zamestnaneckú prémiu. </w:t>
      </w:r>
    </w:p>
    <w:p w:rsidR="005705BD" w:rsidRPr="005705BD" w:rsidRDefault="005705BD" w:rsidP="005705BD">
      <w:pPr>
        <w:pStyle w:val="Odsekzoznamu"/>
        <w:numPr>
          <w:ilvl w:val="0"/>
          <w:numId w:val="1"/>
        </w:num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5705BD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ZC, ktorý za rok 2014 dosiahol príjmy zo závislej činnosti 4224 eur a  sa zamestnanecká prémia vypočíta takto:</w:t>
      </w:r>
      <w:r w:rsidRPr="005705BD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br/>
        <w:t>ZP = 19% z (3803,33 - základ dane ZC)</w:t>
      </w:r>
    </w:p>
    <w:p w:rsidR="005705BD" w:rsidRPr="005705BD" w:rsidRDefault="005705BD" w:rsidP="005705BD">
      <w:pPr>
        <w:pStyle w:val="Odsekzoznamu"/>
        <w:numPr>
          <w:ilvl w:val="0"/>
          <w:numId w:val="1"/>
        </w:num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5705BD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ZC, ktorý za rok 2014 dosiahol príjmy zo závislej činnosti od 2112 eur do 4224 eur,</w:t>
      </w:r>
      <w:r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</w:t>
      </w:r>
      <w:r w:rsidRPr="005705BD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sa zamestnanecká prémia vypočíta takto:</w:t>
      </w:r>
      <w:r w:rsidRPr="005705BD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br/>
        <w:t>ZP = 19% z (3803,33 - základ dane zo sumy 4224) = 27,60 eura</w:t>
      </w:r>
    </w:p>
    <w:p w:rsidR="00B62290" w:rsidRDefault="00B62290">
      <w:p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>
        <w:rPr>
          <w:noProof/>
          <w:lang w:eastAsia="sk-SK"/>
        </w:rPr>
        <w:drawing>
          <wp:inline distT="0" distB="0" distL="0" distR="0" wp14:anchorId="08A4A695" wp14:editId="2BE0E6E8">
            <wp:extent cx="5760720" cy="2855249"/>
            <wp:effectExtent l="0" t="0" r="0" b="254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5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3D7" w:rsidRDefault="00B003D7">
      <w:p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</w:p>
    <w:p w:rsidR="00B003D7" w:rsidRDefault="00B003D7">
      <w:p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</w:p>
    <w:p w:rsidR="00E3433A" w:rsidRDefault="00B003D7">
      <w:pPr>
        <w:rPr>
          <w:rFonts w:ascii="Verdana" w:eastAsia="Times New Roman" w:hAnsi="Verdana" w:cs="Arial"/>
          <w:b/>
          <w:color w:val="3E3E3E"/>
          <w:sz w:val="18"/>
          <w:szCs w:val="18"/>
          <w:lang w:eastAsia="sk-SK"/>
        </w:rPr>
      </w:pPr>
      <w:r w:rsidRPr="00B16987">
        <w:rPr>
          <w:rFonts w:ascii="Verdana" w:eastAsia="Times New Roman" w:hAnsi="Verdana" w:cs="Arial"/>
          <w:b/>
          <w:color w:val="3E3E3E"/>
          <w:sz w:val="18"/>
          <w:szCs w:val="18"/>
          <w:highlight w:val="yellow"/>
          <w:lang w:eastAsia="sk-SK"/>
        </w:rPr>
        <w:t xml:space="preserve"> </w:t>
      </w:r>
      <w:r w:rsidR="00C92F32" w:rsidRPr="00B16987">
        <w:rPr>
          <w:rFonts w:ascii="Verdana" w:eastAsia="Times New Roman" w:hAnsi="Verdana" w:cs="Arial"/>
          <w:b/>
          <w:color w:val="3E3E3E"/>
          <w:sz w:val="18"/>
          <w:szCs w:val="18"/>
          <w:highlight w:val="yellow"/>
          <w:lang w:eastAsia="sk-SK"/>
        </w:rPr>
        <w:t xml:space="preserve">Odvodová </w:t>
      </w:r>
      <w:proofErr w:type="spellStart"/>
      <w:r w:rsidR="00C92F32" w:rsidRPr="00B16987">
        <w:rPr>
          <w:rFonts w:ascii="Verdana" w:eastAsia="Times New Roman" w:hAnsi="Verdana" w:cs="Arial"/>
          <w:b/>
          <w:color w:val="3E3E3E"/>
          <w:sz w:val="18"/>
          <w:szCs w:val="18"/>
          <w:highlight w:val="yellow"/>
          <w:lang w:eastAsia="sk-SK"/>
        </w:rPr>
        <w:t>odpočitateľná</w:t>
      </w:r>
      <w:proofErr w:type="spellEnd"/>
      <w:r w:rsidR="00C92F32" w:rsidRPr="00B16987">
        <w:rPr>
          <w:rFonts w:ascii="Verdana" w:eastAsia="Times New Roman" w:hAnsi="Verdana" w:cs="Arial"/>
          <w:b/>
          <w:color w:val="3E3E3E"/>
          <w:sz w:val="18"/>
          <w:szCs w:val="18"/>
          <w:highlight w:val="yellow"/>
          <w:lang w:eastAsia="sk-SK"/>
        </w:rPr>
        <w:t xml:space="preserve"> položka</w:t>
      </w:r>
    </w:p>
    <w:p w:rsidR="00B003D7" w:rsidRPr="00B003D7" w:rsidRDefault="00B003D7" w:rsidP="00B003D7">
      <w:pPr>
        <w:pStyle w:val="Odsekzoznamu"/>
        <w:numPr>
          <w:ilvl w:val="0"/>
          <w:numId w:val="1"/>
        </w:num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B003D7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lastRenderedPageBreak/>
        <w:t xml:space="preserve">Do karty zamestnanca  - na záložku „Dane a fondy“ sme pridali nový atribút „Odvodová </w:t>
      </w:r>
      <w:proofErr w:type="spellStart"/>
      <w:r w:rsidRPr="00B003D7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odpočitateľná</w:t>
      </w:r>
      <w:proofErr w:type="spellEnd"/>
      <w:r w:rsidRPr="00B003D7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pol.“</w:t>
      </w:r>
    </w:p>
    <w:p w:rsidR="00B003D7" w:rsidRPr="00B003D7" w:rsidRDefault="00B003D7" w:rsidP="00B003D7">
      <w:pPr>
        <w:pStyle w:val="Odsekzoznamu"/>
        <w:numPr>
          <w:ilvl w:val="0"/>
          <w:numId w:val="1"/>
        </w:num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B003D7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Zamestnancovi, ktorý si uplatňuje OP, je nevyhnutné tento atribút zakliknúť.</w:t>
      </w:r>
    </w:p>
    <w:p w:rsidR="00B003D7" w:rsidRPr="00B003D7" w:rsidRDefault="00B003D7" w:rsidP="00B003D7">
      <w:pPr>
        <w:pStyle w:val="Odsekzoznamu"/>
        <w:numPr>
          <w:ilvl w:val="0"/>
          <w:numId w:val="1"/>
        </w:num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B003D7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Zostavu „Oznámenie zamestnanca“ – je pridaná do zoznamu zostáv v Karte zamest</w:t>
      </w:r>
      <w:r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n</w:t>
      </w:r>
      <w:r w:rsidRPr="00B003D7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anca</w:t>
      </w:r>
    </w:p>
    <w:p w:rsidR="00B003D7" w:rsidRPr="00B003D7" w:rsidRDefault="00B003D7">
      <w:pPr>
        <w:rPr>
          <w:rFonts w:ascii="Verdana" w:eastAsia="Times New Roman" w:hAnsi="Verdana" w:cs="Arial"/>
          <w:b/>
          <w:color w:val="3E3E3E"/>
          <w:sz w:val="18"/>
          <w:szCs w:val="18"/>
          <w:lang w:eastAsia="sk-SK"/>
        </w:rPr>
      </w:pPr>
      <w:r>
        <w:rPr>
          <w:noProof/>
          <w:lang w:eastAsia="sk-SK"/>
        </w:rPr>
        <w:drawing>
          <wp:inline distT="0" distB="0" distL="0" distR="0" wp14:anchorId="2F529140" wp14:editId="1BE7B028">
            <wp:extent cx="5760720" cy="2590670"/>
            <wp:effectExtent l="0" t="0" r="0" b="63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F32" w:rsidRPr="00B003D7" w:rsidRDefault="00C92F32" w:rsidP="00B003D7">
      <w:pPr>
        <w:rPr>
          <w:rFonts w:ascii="Verdana" w:eastAsia="Times New Roman" w:hAnsi="Verdana" w:cs="Arial"/>
          <w:b/>
          <w:color w:val="3E3E3E"/>
          <w:sz w:val="18"/>
          <w:szCs w:val="18"/>
          <w:lang w:eastAsia="sk-SK"/>
        </w:rPr>
      </w:pPr>
      <w:r w:rsidRPr="00B003D7">
        <w:rPr>
          <w:rFonts w:ascii="Verdana" w:eastAsia="Times New Roman" w:hAnsi="Verdana" w:cs="Arial"/>
          <w:b/>
          <w:color w:val="3E3E3E"/>
          <w:sz w:val="18"/>
          <w:szCs w:val="18"/>
          <w:lang w:eastAsia="sk-SK"/>
        </w:rPr>
        <w:t>Výška mesačnej OP</w:t>
      </w:r>
    </w:p>
    <w:p w:rsidR="00C35A80" w:rsidRPr="00B003D7" w:rsidRDefault="00C35A80" w:rsidP="00B003D7">
      <w:pPr>
        <w:pStyle w:val="Odsekzoznamu"/>
        <w:numPr>
          <w:ilvl w:val="0"/>
          <w:numId w:val="1"/>
        </w:num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</w:p>
    <w:p w:rsidR="00C92F32" w:rsidRPr="00B003D7" w:rsidRDefault="00C92F32" w:rsidP="00B003D7">
      <w:pPr>
        <w:pStyle w:val="Odsekzoznamu"/>
        <w:numPr>
          <w:ilvl w:val="0"/>
          <w:numId w:val="1"/>
        </w:num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B003D7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OP je najviac 380 Eur mesačne, </w:t>
      </w:r>
    </w:p>
    <w:p w:rsidR="00C92F32" w:rsidRPr="00B003D7" w:rsidRDefault="00C92F32" w:rsidP="00B003D7">
      <w:pPr>
        <w:pStyle w:val="Odsekzoznamu"/>
        <w:numPr>
          <w:ilvl w:val="0"/>
          <w:numId w:val="1"/>
        </w:num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B003D7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výška OP sa znižuje v dvojnásobnej výške k miere zvýšenia príjmu zo zamestnania, </w:t>
      </w:r>
    </w:p>
    <w:p w:rsidR="00C92F32" w:rsidRPr="00B003D7" w:rsidRDefault="00C92F32" w:rsidP="00B003D7">
      <w:pPr>
        <w:pStyle w:val="Odsekzoznamu"/>
        <w:numPr>
          <w:ilvl w:val="0"/>
          <w:numId w:val="1"/>
        </w:num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B003D7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ak je príjem zamestnanca nižší ako 380 Eur, OP nesmie byť vyššia ako výška jeho príjmu, </w:t>
      </w:r>
    </w:p>
    <w:p w:rsidR="00C92F32" w:rsidRPr="00B003D7" w:rsidRDefault="00C92F32" w:rsidP="00B003D7">
      <w:pPr>
        <w:pStyle w:val="Odsekzoznamu"/>
        <w:numPr>
          <w:ilvl w:val="0"/>
          <w:numId w:val="1"/>
        </w:num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B003D7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ak je príjem zamestnanca 570 Eur a viac OP je 0 Eur (to znamená, že OP možno uplatniť do príjmu vo výške 569,99 Eur), </w:t>
      </w:r>
    </w:p>
    <w:p w:rsidR="00B003D7" w:rsidRPr="00B003D7" w:rsidRDefault="00C92F32" w:rsidP="00C92F32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003D7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ak zamestnanec nebol zamestnancom počas celého mesiaca, OP sa alikvotne kráti podľa počtu kalendárnych dní mesiaca, kedy bol zamestnancom </w:t>
      </w:r>
    </w:p>
    <w:p w:rsidR="00B003D7" w:rsidRPr="00B003D7" w:rsidRDefault="00B003D7" w:rsidP="00B003D7">
      <w:pPr>
        <w:pStyle w:val="Odsekzoznamu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2F32" w:rsidRPr="00B003D7" w:rsidRDefault="00C92F32" w:rsidP="00B003D7">
      <w:pPr>
        <w:rPr>
          <w:rFonts w:ascii="Verdana" w:eastAsia="Times New Roman" w:hAnsi="Verdana" w:cs="Arial"/>
          <w:b/>
          <w:color w:val="3E3E3E"/>
          <w:sz w:val="18"/>
          <w:szCs w:val="18"/>
          <w:lang w:eastAsia="sk-SK"/>
        </w:rPr>
      </w:pPr>
      <w:r w:rsidRPr="00B003D7">
        <w:rPr>
          <w:rFonts w:ascii="Verdana" w:eastAsia="Times New Roman" w:hAnsi="Verdana" w:cs="Arial"/>
          <w:b/>
          <w:color w:val="3E3E3E"/>
          <w:sz w:val="18"/>
          <w:szCs w:val="18"/>
          <w:lang w:eastAsia="sk-SK"/>
        </w:rPr>
        <w:t>Výpočet OP v rámci mesiaca</w:t>
      </w:r>
    </w:p>
    <w:p w:rsidR="00C92F32" w:rsidRPr="00B003D7" w:rsidRDefault="00C92F32" w:rsidP="00B003D7">
      <w:pPr>
        <w:pStyle w:val="Odsekzoznamu"/>
        <w:numPr>
          <w:ilvl w:val="0"/>
          <w:numId w:val="1"/>
        </w:num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B003D7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V prípade, že príjem pre OP je v intervale medzi 380 Eur a 570 Eur vzorec na výpočet OP je nasledujúci:</w:t>
      </w:r>
    </w:p>
    <w:p w:rsidR="00C92F32" w:rsidRPr="00B003D7" w:rsidRDefault="00C92F32" w:rsidP="00B003D7">
      <w:pPr>
        <w:pStyle w:val="Odsekzoznamu"/>
        <w:numPr>
          <w:ilvl w:val="0"/>
          <w:numId w:val="1"/>
        </w:num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B003D7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OP= (380-((príjem pre  OP-380)*2))/počet dní mesiaca * počet dní zamestnania</w:t>
      </w:r>
    </w:p>
    <w:p w:rsidR="00C92F32" w:rsidRPr="00B003D7" w:rsidRDefault="00C92F32" w:rsidP="00C92F3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Arial"/>
          <w:b/>
          <w:color w:val="3E3E3E"/>
          <w:sz w:val="18"/>
          <w:szCs w:val="18"/>
          <w:lang w:eastAsia="sk-SK"/>
        </w:rPr>
      </w:pPr>
      <w:r w:rsidRPr="00B003D7">
        <w:rPr>
          <w:rFonts w:ascii="Verdana" w:eastAsia="Times New Roman" w:hAnsi="Verdana" w:cs="Arial"/>
          <w:b/>
          <w:color w:val="3E3E3E"/>
          <w:sz w:val="18"/>
          <w:szCs w:val="18"/>
          <w:lang w:eastAsia="sk-SK"/>
        </w:rPr>
        <w:t>Výška ročnej OP</w:t>
      </w:r>
    </w:p>
    <w:p w:rsidR="00C92F32" w:rsidRPr="00B003D7" w:rsidRDefault="00C92F32" w:rsidP="00B003D7">
      <w:pPr>
        <w:pStyle w:val="Odsekzoznamu"/>
        <w:numPr>
          <w:ilvl w:val="0"/>
          <w:numId w:val="1"/>
        </w:num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B003D7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OP je najviac 4 560 Eur ročne, </w:t>
      </w:r>
    </w:p>
    <w:p w:rsidR="00C92F32" w:rsidRPr="00B003D7" w:rsidRDefault="00C92F32" w:rsidP="00B003D7">
      <w:pPr>
        <w:pStyle w:val="Odsekzoznamu"/>
        <w:numPr>
          <w:ilvl w:val="0"/>
          <w:numId w:val="1"/>
        </w:num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B003D7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OP sa znižuje o dvojnásobok časti vymeriavacieho základu podľa § 13 zákona č. 580/2004 Z. z. , ktorá prevyšuje sumu 4560 Eur, </w:t>
      </w:r>
    </w:p>
    <w:p w:rsidR="00C92F32" w:rsidRPr="00B16987" w:rsidRDefault="00C92F32">
      <w:pPr>
        <w:rPr>
          <w:rFonts w:ascii="Verdana" w:eastAsia="Times New Roman" w:hAnsi="Verdana" w:cs="Arial"/>
          <w:b/>
          <w:color w:val="3E3E3E"/>
          <w:sz w:val="18"/>
          <w:szCs w:val="18"/>
          <w:highlight w:val="yellow"/>
          <w:lang w:eastAsia="sk-SK"/>
        </w:rPr>
      </w:pPr>
    </w:p>
    <w:p w:rsidR="00B16987" w:rsidRPr="00B16987" w:rsidRDefault="00B16987" w:rsidP="00B16987">
      <w:pPr>
        <w:rPr>
          <w:rFonts w:ascii="Verdana" w:eastAsia="Times New Roman" w:hAnsi="Verdana" w:cs="Arial"/>
          <w:b/>
          <w:color w:val="3E3E3E"/>
          <w:sz w:val="18"/>
          <w:szCs w:val="18"/>
          <w:highlight w:val="yellow"/>
          <w:lang w:eastAsia="sk-SK"/>
        </w:rPr>
      </w:pPr>
      <w:r w:rsidRPr="00B16987">
        <w:rPr>
          <w:rFonts w:ascii="Verdana" w:eastAsia="Times New Roman" w:hAnsi="Verdana" w:cs="Arial"/>
          <w:b/>
          <w:color w:val="3E3E3E"/>
          <w:sz w:val="18"/>
          <w:szCs w:val="18"/>
          <w:highlight w:val="yellow"/>
          <w:lang w:eastAsia="sk-SK"/>
        </w:rPr>
        <w:t>Úprava rozhodného obdobia pre nemoc.</w:t>
      </w:r>
    </w:p>
    <w:p w:rsidR="00B16987" w:rsidRPr="00B16987" w:rsidRDefault="00B16987" w:rsidP="00B16987">
      <w:pPr>
        <w:rPr>
          <w:b/>
        </w:rPr>
      </w:pPr>
      <w:r w:rsidRPr="00B16987">
        <w:rPr>
          <w:b/>
        </w:rPr>
        <w:t>Trieda Nemoc:</w:t>
      </w:r>
    </w:p>
    <w:p w:rsidR="00B16987" w:rsidRPr="00B16987" w:rsidRDefault="00B16987" w:rsidP="00B16987">
      <w:p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B16987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Úprava rozhodného obdobia:</w:t>
      </w:r>
    </w:p>
    <w:p w:rsidR="00B16987" w:rsidRPr="00B16987" w:rsidRDefault="00B16987" w:rsidP="00B16987">
      <w:pPr>
        <w:pStyle w:val="Odsekzoznamu"/>
        <w:numPr>
          <w:ilvl w:val="0"/>
          <w:numId w:val="1"/>
        </w:num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B16987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Ak poistenie trvalo &gt; 90 </w:t>
      </w:r>
    </w:p>
    <w:p w:rsidR="00B16987" w:rsidRPr="00B16987" w:rsidRDefault="00B16987" w:rsidP="00B16987">
      <w:pPr>
        <w:pStyle w:val="Odsekzoznamu"/>
        <w:numPr>
          <w:ilvl w:val="0"/>
          <w:numId w:val="1"/>
        </w:num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B16987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lastRenderedPageBreak/>
        <w:t>a dátum vzniku PPV je v intervale 02.01. – 31.12 predchádzajúceho roka pred vznikom nároku na náhradu príjmu pri dočasnej práceneschopnosti</w:t>
      </w:r>
    </w:p>
    <w:p w:rsidR="00B16987" w:rsidRDefault="00B16987" w:rsidP="00B16987">
      <w:pPr>
        <w:pStyle w:val="Odsekzoznamu"/>
        <w:numPr>
          <w:ilvl w:val="0"/>
          <w:numId w:val="1"/>
        </w:num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 w:rsidRPr="00B16987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potom rozhodné obdobie pre výpočet vymeriavacieho základu =od začiatku PPV do konca predchádzajúceho mesiaca.</w:t>
      </w:r>
      <w:r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 xml:space="preserve"> </w:t>
      </w:r>
      <w:r w:rsidRPr="00B16987"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(Doteraz  sa v prípade, že nemocenská poistenie zamestnanca vzniklo počas predchádzajúceho roka, rozhodujúce obdobie sa určilo ako obdobie od vzniku PPV do konca predchádzajúceho roka)</w:t>
      </w:r>
    </w:p>
    <w:p w:rsidR="00B16987" w:rsidRDefault="00B16987" w:rsidP="00B16987">
      <w:p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</w:p>
    <w:p w:rsidR="00B16987" w:rsidRPr="00B16987" w:rsidRDefault="00B16987" w:rsidP="00B16987">
      <w:pPr>
        <w:rPr>
          <w:rFonts w:ascii="Verdana" w:eastAsia="Times New Roman" w:hAnsi="Verdana" w:cs="Arial"/>
          <w:b/>
          <w:color w:val="3E3E3E"/>
          <w:sz w:val="18"/>
          <w:szCs w:val="18"/>
          <w:highlight w:val="yellow"/>
          <w:lang w:eastAsia="sk-SK"/>
        </w:rPr>
      </w:pPr>
      <w:r w:rsidRPr="00B16987">
        <w:rPr>
          <w:rFonts w:ascii="Verdana" w:eastAsia="Times New Roman" w:hAnsi="Verdana" w:cs="Arial"/>
          <w:b/>
          <w:color w:val="3E3E3E"/>
          <w:sz w:val="18"/>
          <w:szCs w:val="18"/>
          <w:highlight w:val="yellow"/>
          <w:lang w:eastAsia="sk-SK"/>
        </w:rPr>
        <w:t>Hromadné oznámenie do ZP</w:t>
      </w:r>
    </w:p>
    <w:p w:rsidR="00B16987" w:rsidRPr="00B16987" w:rsidRDefault="00B16987" w:rsidP="00B16987">
      <w:p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  <w:r>
        <w:rPr>
          <w:rFonts w:ascii="Verdana" w:eastAsia="Times New Roman" w:hAnsi="Verdana" w:cs="Arial"/>
          <w:color w:val="3E3E3E"/>
          <w:sz w:val="18"/>
          <w:szCs w:val="18"/>
          <w:lang w:eastAsia="sk-SK"/>
        </w:rPr>
        <w:t>Do formulára Pridaný nový kód    1P</w:t>
      </w:r>
    </w:p>
    <w:p w:rsidR="00B16987" w:rsidRDefault="00B16987" w:rsidP="00B16987"/>
    <w:p w:rsidR="00B16987" w:rsidRPr="00530EB1" w:rsidRDefault="00B16987">
      <w:pPr>
        <w:rPr>
          <w:rFonts w:ascii="Verdana" w:eastAsia="Times New Roman" w:hAnsi="Verdana" w:cs="Arial"/>
          <w:color w:val="3E3E3E"/>
          <w:sz w:val="18"/>
          <w:szCs w:val="18"/>
          <w:lang w:eastAsia="sk-SK"/>
        </w:rPr>
      </w:pPr>
    </w:p>
    <w:sectPr w:rsidR="00B16987" w:rsidRPr="00530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71C6"/>
    <w:multiLevelType w:val="hybridMultilevel"/>
    <w:tmpl w:val="046AA1AA"/>
    <w:lvl w:ilvl="0" w:tplc="21D6608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E7BEA"/>
    <w:multiLevelType w:val="multilevel"/>
    <w:tmpl w:val="1A00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FD41A7"/>
    <w:multiLevelType w:val="multilevel"/>
    <w:tmpl w:val="E5EAE1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DB0630"/>
    <w:multiLevelType w:val="hybridMultilevel"/>
    <w:tmpl w:val="1DFC9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F6CA8"/>
    <w:multiLevelType w:val="hybridMultilevel"/>
    <w:tmpl w:val="5FC0E6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DE2803"/>
    <w:multiLevelType w:val="multilevel"/>
    <w:tmpl w:val="8A90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DC"/>
    <w:rsid w:val="00095F9C"/>
    <w:rsid w:val="00321FF0"/>
    <w:rsid w:val="00334CE9"/>
    <w:rsid w:val="00530EB1"/>
    <w:rsid w:val="005705BD"/>
    <w:rsid w:val="0057777F"/>
    <w:rsid w:val="00585AA3"/>
    <w:rsid w:val="005E31D3"/>
    <w:rsid w:val="005E68F7"/>
    <w:rsid w:val="006B580E"/>
    <w:rsid w:val="006C0E4A"/>
    <w:rsid w:val="0095378A"/>
    <w:rsid w:val="00B003D7"/>
    <w:rsid w:val="00B16987"/>
    <w:rsid w:val="00B62290"/>
    <w:rsid w:val="00C35A80"/>
    <w:rsid w:val="00C679FF"/>
    <w:rsid w:val="00C92F32"/>
    <w:rsid w:val="00CB40DC"/>
    <w:rsid w:val="00E3433A"/>
    <w:rsid w:val="00E72130"/>
    <w:rsid w:val="00E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CB40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CB40D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E31D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3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433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21FF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CB40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CB40D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E31D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3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433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21FF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3021">
              <w:marLeft w:val="0"/>
              <w:marRight w:val="0"/>
              <w:marTop w:val="12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Gašperová Mária</dc:creator>
  <cp:lastModifiedBy>Gašperová Mária</cp:lastModifiedBy>
  <cp:revision>2</cp:revision>
  <dcterms:created xsi:type="dcterms:W3CDTF">2015-01-26T19:10:00Z</dcterms:created>
  <dcterms:modified xsi:type="dcterms:W3CDTF">2015-01-26T19:10:00Z</dcterms:modified>
</cp:coreProperties>
</file>